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microct-ana-unibe-ch/microvasculature-manuscript@c2ba984</w:t>
        </w:r>
      </w:hyperlink>
      <w:r>
        <w:t xml:space="preserve"> </w:t>
      </w:r>
      <w:r>
        <w:t xml:space="preserve">on March 14,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41</w:t>
        </w:r>
      </w:hyperlink>
      <w:r>
        <w:t xml:space="preserve">,</w:t>
      </w:r>
      <w:hyperlink w:anchor="ref-AHsHFIUt">
        <w:r>
          <w:rPr>
            <w:rStyle w:val="Hyperlink"/>
          </w:rPr>
          <w:t xml:space="preserve">43</w:t>
        </w:r>
      </w:hyperlink>
      <w:r>
        <w:t xml:space="preserve">,</w:t>
      </w:r>
      <w:hyperlink w:anchor="ref-zXoIXG3G">
        <w:r>
          <w:rPr>
            <w:rStyle w:val="Hyperlink"/>
          </w:rPr>
          <w:t xml:space="preserve">50</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41</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36</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36</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42</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41</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Another alternative to detect vessels within bone is synchrotron-radiation based tomography, specifically employing phase contrast-tomography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Albeit its potential, synchrotron-radiation based tomography is not as easily attainable for most preclinical researchers as microCT and has severe drawbacks in terms of visualized sample volume.</w:t>
      </w:r>
    </w:p>
    <w:p>
      <w:pPr>
        <w:pStyle w:val="BodyText"/>
      </w:pP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36</w:t>
        </w:r>
      </w:hyperlink>
      <w:r>
        <w:t xml:space="preserve">,</w:t>
      </w:r>
      <w:hyperlink w:anchor="ref-168Ee16HU">
        <w:r>
          <w:rPr>
            <w:rStyle w:val="Hyperlink"/>
          </w:rPr>
          <w:t xml:space="preserve">46</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36</w:t>
        </w:r>
      </w:hyperlink>
      <w:r>
        <w:t xml:space="preserve">,</w:t>
      </w:r>
      <w:hyperlink w:anchor="ref-AHsHFIUt">
        <w:r>
          <w:rPr>
            <w:rStyle w:val="Hyperlink"/>
          </w:rPr>
          <w:t xml:space="preserve">43</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36</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44</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41</w:t>
        </w:r>
      </w:hyperlink>
      <w:r>
        <w:t xml:space="preserve">,</w:t>
      </w:r>
      <w:hyperlink w:anchor="ref-AHsHFIUt">
        <w:r>
          <w:rPr>
            <w:rStyle w:val="Hyperlink"/>
          </w:rPr>
          <w:t xml:space="preserve">43</w:t>
        </w:r>
      </w:hyperlink>
      <w:r>
        <w:t xml:space="preserve">,</w:t>
      </w:r>
      <w:hyperlink w:anchor="ref-13YRlKdu2">
        <w:r>
          <w:rPr>
            <w:rStyle w:val="Hyperlink"/>
          </w:rPr>
          <w:t xml:space="preserve">53</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43</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43</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39</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39</w:t>
        </w:r>
      </w:hyperlink>
      <w:r>
        <w:t xml:space="preserve">,</w:t>
      </w:r>
      <w:hyperlink w:anchor="ref-AHsHFIUt">
        <w:r>
          <w:rPr>
            <w:rStyle w:val="Hyperlink"/>
          </w:rPr>
          <w:t xml:space="preserve">43</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40</w:t>
        </w:r>
      </w:hyperlink>
      <w:r>
        <w:t xml:space="preserve">,</w:t>
      </w:r>
      <w:hyperlink w:anchor="ref-11349lK8v">
        <w:r>
          <w:rPr>
            <w:rStyle w:val="Hyperlink"/>
          </w:rPr>
          <w:t xml:space="preserve">52</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52</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52</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37</w:t>
        </w:r>
      </w:hyperlink>
      <w:r>
        <w:t xml:space="preserve">,</w:t>
      </w:r>
      <w:hyperlink w:anchor="ref-Siy9vGW7">
        <w:r>
          <w:rPr>
            <w:rStyle w:val="Hyperlink"/>
          </w:rPr>
          <w:t xml:space="preserve">49</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60-week-old C57BL/6 mouse, and six female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p>
      <w:pPr>
        <w:pStyle w:val="BodyText"/>
      </w:pPr>
      <w:r>
        <w:t xml:space="preserve">The following reporting adheres to the ARRIVE Guidelines 2.0</w:t>
      </w:r>
      <w:r>
        <w:t xml:space="preserve"> </w:t>
      </w:r>
      <w:r>
        <w:t xml:space="preserve">[</w:t>
      </w:r>
      <w:hyperlink w:anchor="ref-1ppOkyPO">
        <w:r>
          <w:rPr>
            <w:rStyle w:val="Hyperlink"/>
          </w:rPr>
          <w:t xml:space="preserve">38</w:t>
        </w:r>
      </w:hyperlink>
      <w:r>
        <w:t xml:space="preserve">]</w:t>
      </w:r>
      <w:r>
        <w:t xml:space="preserve"> </w:t>
      </w:r>
      <w:r>
        <w:t xml:space="preserve">for relevant items.</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imaging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End w:id="101"/>
    <w:bookmarkStart w:id="136" w:name="contrast-agent-μangiofil"/>
    <w:p>
      <w:pPr>
        <w:pStyle w:val="Heading3"/>
      </w:pPr>
      <w:r>
        <w:t xml:space="preserve">Contrast agent μAngiofil</w:t>
      </w:r>
    </w:p>
    <w:p>
      <w:pPr>
        <w:pStyle w:val="FirstParagraph"/>
      </w:pPr>
      <w:r>
        <w:t xml:space="preserve">For all the applications mentioned below, we instilled the vasculature of the model animals with the iodine-based contrast agent μAngiofil (Fumedica AG, Switzerland).</w:t>
      </w:r>
    </w:p>
    <w:p>
      <w:pPr>
        <w:pStyle w:val="BodyText"/>
      </w:pPr>
      <w:r>
        <w:t xml:space="preserve">The contrast agent was prepared according to the manufacturer’s recommendations.</w:t>
      </w:r>
      <w:r>
        <w:t xml:space="preserve"> </w:t>
      </w:r>
      <w:r>
        <w:t xml:space="preserve">Briefly, in a preparation step two out of three components (labelled</w:t>
      </w:r>
      <w:r>
        <w:t xml:space="preserve"> </w:t>
      </w:r>
      <w:r>
        <w:t xml:space="preserve">‘</w:t>
      </w:r>
      <w:r>
        <w:t xml:space="preserve">Contrast Solution</w:t>
      </w:r>
      <w:r>
        <w:t xml:space="preserve">’</w:t>
      </w:r>
      <w:r>
        <w:t xml:space="preserve"> </w:t>
      </w:r>
      <w:r>
        <w:t xml:space="preserve">(blue) and</w:t>
      </w:r>
      <w:r>
        <w:t xml:space="preserve"> </w:t>
      </w:r>
      <w:r>
        <w:t xml:space="preserve">‘</w:t>
      </w:r>
      <w:r>
        <w:t xml:space="preserve">PU</w:t>
      </w:r>
      <w:r>
        <w:t xml:space="preserve">’</w:t>
      </w:r>
      <w:r>
        <w:t xml:space="preserve">) are mixed together.</w:t>
      </w:r>
      <w:r>
        <w:t xml:space="preserve"> </w:t>
      </w:r>
      <w:r>
        <w:t xml:space="preserve">During instillation, these components are again mixed with a hardener in a mixing tube.</w:t>
      </w:r>
      <w:r>
        <w:t xml:space="preserve"> </w:t>
      </w:r>
      <w:r>
        <w:t xml:space="preserve">The instillation into the cannulated animal vascular system is ideally performed with a syringe pump, taking care of a reproducible instillation speed.</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Briefly, heparinized animals were deeply anesthetized (details for each animal model are given below).</w:t>
      </w:r>
      <w:r>
        <w:t xml:space="preserve"> </w:t>
      </w:r>
      <w:r>
        <w:t xml:space="preserve">Here is a brief description of the perfusion procedure, as performed in mice: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p>
    <w:p>
      <w:pPr>
        <w:pStyle w:val="BodyText"/>
      </w:pP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bookmarkStart w:id="106" w:name="X35cf713b64ce8b6d344f8090fcac85da7bd58df"/>
    <w:p>
      <w:pPr>
        <w:pStyle w:val="Heading4"/>
      </w:pPr>
      <w:r>
        <w:t xml:space="preserve">Contrast-enhanced microAngioCT of mice using μAngiofil</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45</w:t>
        </w:r>
      </w:hyperlink>
      <w:r>
        <w:t xml:space="preserve">]</w:t>
      </w:r>
      <w:r>
        <w:t xml:space="preserve"> </w:t>
      </w:r>
      <w:r>
        <w:t xml:space="preserve">by adapting previous work</w:t>
      </w:r>
      <w:r>
        <w:t xml:space="preserve"> </w:t>
      </w:r>
      <w:r>
        <w:t xml:space="preserve">[</w:t>
      </w:r>
      <w:hyperlink w:anchor="ref-168Ee16HU">
        <w:r>
          <w:rPr>
            <w:rStyle w:val="Hyperlink"/>
          </w:rPr>
          <w:t xml:space="preserve">46</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r>
        <w:t xml:space="preserve"> </w:t>
      </w:r>
      <w:r>
        <w:t xml:space="preserve">This resulted in an isotropic voxel size of 3.19 μm.</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54</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This resulted in an isotropic voxel size of 21 μm.</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r>
        <w:t xml:space="preserve"> </w:t>
      </w:r>
      <w:r>
        <w:t xml:space="preserve">This resulted in an isotropic voxel size of 9 μm.</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36</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enhancing-cntrast-dual-energy-microct"/>
    <w:p>
      <w:pPr>
        <w:pStyle w:val="Heading4"/>
      </w:pPr>
      <w:r>
        <w:t xml:space="preserve">Enhancing cntrast dual-energy MicroCT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47</w:t>
        </w:r>
      </w:hyperlink>
      <w:r>
        <w:t xml:space="preserve">,</w:t>
      </w:r>
      <w:hyperlink w:anchor="ref-zB5E7Obz">
        <w:r>
          <w:rPr>
            <w:rStyle w:val="Hyperlink"/>
          </w:rPr>
          <w:t xml:space="preserve">48</w:t>
        </w:r>
      </w:hyperlink>
      <w:r>
        <w:t xml:space="preserve">,</w:t>
      </w:r>
      <w:hyperlink w:anchor="ref-zXoIXG3G">
        <w:r>
          <w:rPr>
            <w:rStyle w:val="Hyperlink"/>
          </w:rPr>
          <w:t xml:space="preserve">50</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52</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45</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45</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51</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44</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52</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52</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45</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51"/>
    <w:bookmarkStart w:id="260" w:name="references"/>
    <w:p>
      <w:pPr>
        <w:pStyle w:val="Heading2"/>
      </w:pPr>
      <w:r>
        <w:t xml:space="preserve">References</w:t>
      </w:r>
    </w:p>
    <w:bookmarkStart w:id="259"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117R9ULnv"/>
    <w:p>
      <w:pPr>
        <w:pStyle w:val="Bibliography"/>
      </w:pPr>
      <w:r>
        <w:t xml:space="preserve">[36]</w:t>
      </w:r>
      <w:r>
        <w:t xml:space="preserve"> </w:t>
      </w:r>
      <w:r>
        <w:t xml:space="preserve">	</w:t>
      </w:r>
      <w:r>
        <w:t xml:space="preserve">J.A. Núñez, A. Goring, E. Hesse, P.J. Thurner, P. Schneider, C.E. Clarkin,</w:t>
      </w:r>
      <w:r>
        <w:t xml:space="preserve"> </w:t>
      </w:r>
      <w:hyperlink r:id="rId221">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2"/>
    <w:bookmarkStart w:id="224" w:name="ref-i45b7Cmp"/>
    <w:p>
      <w:pPr>
        <w:pStyle w:val="Bibliography"/>
      </w:pPr>
      <w:r>
        <w:t xml:space="preserve">[37]</w:t>
      </w:r>
      <w:r>
        <w:t xml:space="preserve"> </w:t>
      </w:r>
      <w:r>
        <w:t xml:space="preserve">	</w:t>
      </w:r>
      <w:r>
        <w:t xml:space="preserve">, A. Pearce, R. Richards, S. Milz, E. Schneider, S. Pearce,</w:t>
      </w:r>
      <w:r>
        <w:t xml:space="preserve"> </w:t>
      </w:r>
      <w:hyperlink r:id="rId223">
        <w:r>
          <w:rPr>
            <w:rStyle w:val="Hyperlink"/>
          </w:rPr>
          <w:t xml:space="preserve">Animal models for implant biomaterial research in bone: A review</w:t>
        </w:r>
      </w:hyperlink>
      <w:r>
        <w:t xml:space="preserve">, eCM 13 (2007) 1–10.</w:t>
      </w:r>
    </w:p>
    <w:bookmarkEnd w:id="224"/>
    <w:bookmarkStart w:id="226" w:name="ref-1ppOkyPO"/>
    <w:p>
      <w:pPr>
        <w:pStyle w:val="Bibliography"/>
      </w:pPr>
      <w:r>
        <w:t xml:space="preserve">[38]</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5">
        <w:r>
          <w:rPr>
            <w:rStyle w:val="Hyperlink"/>
          </w:rPr>
          <w:t xml:space="preserve">Reporting animal research: Explanation and elaboration for the ARRIVE guidelines 2.0</w:t>
        </w:r>
      </w:hyperlink>
      <w:r>
        <w:t xml:space="preserve">, PLoS Biol 18 (2020) e3000411.</w:t>
      </w:r>
    </w:p>
    <w:bookmarkEnd w:id="226"/>
    <w:bookmarkStart w:id="228" w:name="ref-KJUjdwi7"/>
    <w:p>
      <w:pPr>
        <w:pStyle w:val="Bibliography"/>
      </w:pPr>
      <w:r>
        <w:t xml:space="preserve">[39]</w:t>
      </w:r>
      <w:r>
        <w:t xml:space="preserve"> </w:t>
      </w:r>
      <w:r>
        <w:t xml:space="preserve">	</w:t>
      </w:r>
      <w:r>
        <w:t xml:space="preserve">D.S. Perrien, M.A. Saleh, K. Takahashi, M.S. Madhur, D.G. Harrison, R.C. Harris, T. Takahashi,</w:t>
      </w:r>
      <w:r>
        <w:t xml:space="preserve"> </w:t>
      </w:r>
      <w:hyperlink r:id="rId227">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8"/>
    <w:bookmarkStart w:id="230" w:name="ref-rCXuqa0O"/>
    <w:p>
      <w:pPr>
        <w:pStyle w:val="Bibliography"/>
      </w:pPr>
      <w:r>
        <w:t xml:space="preserve">[40]</w:t>
      </w:r>
      <w:r>
        <w:t xml:space="preserve"> </w:t>
      </w:r>
      <w:r>
        <w:t xml:space="preserve">	</w:t>
      </w:r>
      <w:r>
        <w:t xml:space="preserve">J. Raphel, M. Holodniy, S.B. Goodman, S.C. Heilshorn,</w:t>
      </w:r>
      <w:r>
        <w:t xml:space="preserve"> </w:t>
      </w:r>
      <w:hyperlink r:id="rId229">
        <w:r>
          <w:rPr>
            <w:rStyle w:val="Hyperlink"/>
          </w:rPr>
          <w:t xml:space="preserve">Multifunctional coatings to simultaneously promote osseointegration and prevent infection of orthopaedic implants</w:t>
        </w:r>
      </w:hyperlink>
      <w:r>
        <w:t xml:space="preserve">, Biomaterials 84 (2016) 301–314.</w:t>
      </w:r>
    </w:p>
    <w:bookmarkEnd w:id="230"/>
    <w:bookmarkStart w:id="232" w:name="ref-Vu36g0cK"/>
    <w:p>
      <w:pPr>
        <w:pStyle w:val="Bibliography"/>
      </w:pPr>
      <w:r>
        <w:t xml:space="preserve">[41]</w:t>
      </w:r>
      <w:r>
        <w:t xml:space="preserve"> </w:t>
      </w:r>
      <w:r>
        <w:t xml:space="preserve">	</w:t>
      </w:r>
      <w:r>
        <w:t xml:space="preserve">Y. Ren, J. Senarathna, W.L. Grayson, A.P. Pathak,</w:t>
      </w:r>
      <w:r>
        <w:t xml:space="preserve"> </w:t>
      </w:r>
      <w:hyperlink r:id="rId231">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2"/>
    <w:bookmarkStart w:id="234" w:name="ref-DiX3YTwQ"/>
    <w:p>
      <w:pPr>
        <w:pStyle w:val="Bibliography"/>
      </w:pPr>
      <w:r>
        <w:t xml:space="preserve">[42]</w:t>
      </w:r>
      <w:r>
        <w:t xml:space="preserve"> </w:t>
      </w:r>
      <w:r>
        <w:t xml:space="preserve">	</w:t>
      </w:r>
      <w:r>
        <w:t xml:space="preserve">A.N. Rindone, X. Liu, S. Farhat, A. Perdomo-Pantoja, T.F. Witham, D.L. Coutu, M. Wan, W.L. Grayson,</w:t>
      </w:r>
      <w:r>
        <w:t xml:space="preserve"> </w:t>
      </w:r>
      <w:hyperlink r:id="rId233">
        <w:r>
          <w:rPr>
            <w:rStyle w:val="Hyperlink"/>
          </w:rPr>
          <w:t xml:space="preserve">Quantitative 3D imaging of the cranial microvascular environment at single-cell resolution</w:t>
        </w:r>
      </w:hyperlink>
      <w:r>
        <w:t xml:space="preserve">, Nat Commun 12 (2021).</w:t>
      </w:r>
    </w:p>
    <w:bookmarkEnd w:id="234"/>
    <w:bookmarkStart w:id="236" w:name="ref-AHsHFIUt"/>
    <w:p>
      <w:pPr>
        <w:pStyle w:val="Bibliography"/>
      </w:pPr>
      <w:r>
        <w:t xml:space="preserve">[43]</w:t>
      </w:r>
      <w:r>
        <w:t xml:space="preserve"> </w:t>
      </w:r>
      <w:r>
        <w:t xml:space="preserve">	</w:t>
      </w:r>
      <w:r>
        <w:t xml:space="preserve">B. Roche, V. David, A. Vanden-Bossche, F. Peyrin, L. Malaval, L. Vico, M.-H. Lafage-Proust,</w:t>
      </w:r>
      <w:r>
        <w:t xml:space="preserve"> </w:t>
      </w:r>
      <w:hyperlink r:id="rId235">
        <w:r>
          <w:rPr>
            <w:rStyle w:val="Hyperlink"/>
          </w:rPr>
          <w:t xml:space="preserve">Structure and quantification of microvascularisation within mouse long bones: What and how should we measure?</w:t>
        </w:r>
      </w:hyperlink>
      <w:r>
        <w:t xml:space="preserve">, Bone 50 (2012) 390–399.</w:t>
      </w:r>
    </w:p>
    <w:bookmarkEnd w:id="236"/>
    <w:bookmarkStart w:id="238" w:name="ref-yP3RkDdM"/>
    <w:p>
      <w:pPr>
        <w:pStyle w:val="Bibliography"/>
      </w:pPr>
      <w:r>
        <w:t xml:space="preserve">[44]</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7">
        <w:r>
          <w:rPr>
            <w:rStyle w:val="Hyperlink"/>
          </w:rPr>
          <w:t xml:space="preserve">Non-invasive in situ visualization of the murine cranial vasculature</w:t>
        </w:r>
      </w:hyperlink>
      <w:r>
        <w:t xml:space="preserve">, Cell Reports Methods 2 (2022) 100151.</w:t>
      </w:r>
    </w:p>
    <w:bookmarkEnd w:id="238"/>
    <w:bookmarkStart w:id="240" w:name="ref-iM9i6gkJ"/>
    <w:p>
      <w:pPr>
        <w:pStyle w:val="Bibliography"/>
      </w:pPr>
      <w:r>
        <w:t xml:space="preserve">[45]</w:t>
      </w:r>
      <w:r>
        <w:t xml:space="preserve"> </w:t>
      </w:r>
      <w:r>
        <w:t xml:space="preserve">	</w:t>
      </w:r>
      <w:r>
        <w:t xml:space="preserve">L. Schaad, R. Hlushchuk, S. Barré, R. Gianni-Barrera, D. Haberthür, A. Banfi, V. Djonov,</w:t>
      </w:r>
      <w:r>
        <w:t xml:space="preserve"> </w:t>
      </w:r>
      <w:hyperlink r:id="rId239">
        <w:r>
          <w:rPr>
            <w:rStyle w:val="Hyperlink"/>
          </w:rPr>
          <w:t xml:space="preserve">Correlative Imaging of the Murine Hind Limb Vasculature and Muscle Tissue by MicroCT and Light Microscopy</w:t>
        </w:r>
      </w:hyperlink>
      <w:r>
        <w:t xml:space="preserve">, Sci Rep 7 (2017).</w:t>
      </w:r>
    </w:p>
    <w:bookmarkEnd w:id="240"/>
    <w:bookmarkStart w:id="242" w:name="ref-168Ee16HU"/>
    <w:p>
      <w:pPr>
        <w:pStyle w:val="Bibliography"/>
      </w:pPr>
      <w:r>
        <w:t xml:space="preserve">[46]</w:t>
      </w:r>
      <w:r>
        <w:t xml:space="preserve"> </w:t>
      </w:r>
      <w:r>
        <w:t xml:space="preserve">	</w:t>
      </w:r>
      <w:r>
        <w:t xml:space="preserve">P. Schneider, T. Krucker, E. Meyer, A. Ulmann‐Schuler, B. Weber, M. Stampanoni, R. Müller,</w:t>
      </w:r>
      <w:r>
        <w:t xml:space="preserve"> </w:t>
      </w:r>
      <w:hyperlink r:id="rId241">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2"/>
    <w:bookmarkStart w:id="244" w:name="ref-Ha1wHU4s"/>
    <w:p>
      <w:pPr>
        <w:pStyle w:val="Bibliography"/>
      </w:pPr>
      <w:r>
        <w:t xml:space="preserve">[47]</w:t>
      </w:r>
      <w:r>
        <w:t xml:space="preserve"> </w:t>
      </w:r>
      <w:r>
        <w:t xml:space="preserve">	</w:t>
      </w:r>
      <w:r>
        <w:t xml:space="preserve">N.G. Schott, N.E. Friend, J.P. Stegemann,</w:t>
      </w:r>
      <w:r>
        <w:t xml:space="preserve"> </w:t>
      </w:r>
      <w:hyperlink r:id="rId243">
        <w:r>
          <w:rPr>
            <w:rStyle w:val="Hyperlink"/>
          </w:rPr>
          <w:t xml:space="preserve">Coupling Osteogenesis and Vasculogenesis in Engineered Orthopedic Tissues</w:t>
        </w:r>
      </w:hyperlink>
      <w:r>
        <w:t xml:space="preserve">, Tissue Engineering Part B: Reviews 27 (2021) 199–214.</w:t>
      </w:r>
    </w:p>
    <w:bookmarkEnd w:id="244"/>
    <w:bookmarkStart w:id="246" w:name="ref-zB5E7Obz"/>
    <w:p>
      <w:pPr>
        <w:pStyle w:val="Bibliography"/>
      </w:pPr>
      <w:r>
        <w:t xml:space="preserve">[48]</w:t>
      </w:r>
      <w:r>
        <w:t xml:space="preserve"> </w:t>
      </w:r>
      <w:r>
        <w:t xml:space="preserve">	</w:t>
      </w:r>
      <w:r>
        <w:t xml:space="preserve">K.K. Sivaraj, R.H. Adams,</w:t>
      </w:r>
      <w:r>
        <w:t xml:space="preserve"> </w:t>
      </w:r>
      <w:hyperlink r:id="rId245">
        <w:r>
          <w:rPr>
            <w:rStyle w:val="Hyperlink"/>
          </w:rPr>
          <w:t xml:space="preserve">Blood vessel formation and function in bone</w:t>
        </w:r>
      </w:hyperlink>
      <w:r>
        <w:t xml:space="preserve">, Development 143 (2016) 2706–2715.</w:t>
      </w:r>
    </w:p>
    <w:bookmarkEnd w:id="246"/>
    <w:bookmarkStart w:id="248" w:name="ref-Siy9vGW7"/>
    <w:p>
      <w:pPr>
        <w:pStyle w:val="Bibliography"/>
      </w:pPr>
      <w:r>
        <w:t xml:space="preserve">[49]</w:t>
      </w:r>
      <w:r>
        <w:t xml:space="preserve"> </w:t>
      </w:r>
      <w:r>
        <w:t xml:space="preserve">	</w:t>
      </w:r>
      <w:r>
        <w:t xml:space="preserve">S. Wang, Y. Liu, D. Fang, S. Shi,</w:t>
      </w:r>
      <w:r>
        <w:t xml:space="preserve"> </w:t>
      </w:r>
      <w:hyperlink r:id="rId247">
        <w:r>
          <w:rPr>
            <w:rStyle w:val="Hyperlink"/>
          </w:rPr>
          <w:t xml:space="preserve">The miniature pig: a useful large animal model for dental and orofacial research</w:t>
        </w:r>
      </w:hyperlink>
      <w:r>
        <w:t xml:space="preserve">, Oral Diseases 13 (2007) 530–537.</w:t>
      </w:r>
    </w:p>
    <w:bookmarkEnd w:id="248"/>
    <w:bookmarkStart w:id="250" w:name="ref-zXoIXG3G"/>
    <w:p>
      <w:pPr>
        <w:pStyle w:val="Bibliography"/>
      </w:pPr>
      <w:r>
        <w:t xml:space="preserve">[50]</w:t>
      </w:r>
      <w:r>
        <w:t xml:space="preserve"> </w:t>
      </w:r>
      <w:r>
        <w:t xml:space="preserve">	</w:t>
      </w:r>
      <w:r>
        <w:t xml:space="preserve">E. Wernike, W. Hofstetter, Y. Liu, G. Wu, H. Sebald, D. Wismeijer, E.B. Hunziker, K. Siebenrock, F.M. Klenke,</w:t>
      </w:r>
      <w:r>
        <w:t xml:space="preserve"> </w:t>
      </w:r>
      <w:hyperlink r:id="rId249">
        <w:r>
          <w:rPr>
            <w:rStyle w:val="Hyperlink"/>
          </w:rPr>
          <w:t xml:space="preserve">Long‐term cell‐mediated protein release from calcium phosphate ceramics</w:t>
        </w:r>
      </w:hyperlink>
      <w:r>
        <w:t xml:space="preserve">, J Biomedical Materials Res 92A (2009) 463–474.</w:t>
      </w:r>
    </w:p>
    <w:bookmarkEnd w:id="250"/>
    <w:bookmarkStart w:id="252" w:name="ref-15Cb0RCtH"/>
    <w:p>
      <w:pPr>
        <w:pStyle w:val="Bibliography"/>
      </w:pPr>
      <w:r>
        <w:t xml:space="preserve">[51]</w:t>
      </w:r>
      <w:r>
        <w:t xml:space="preserve"> </w:t>
      </w:r>
      <w:r>
        <w:t xml:space="preserve">	</w:t>
      </w:r>
      <w:r>
        <w:t xml:space="preserve">H. Xu, M.-H. Lafage-Proust, L. Bouazza, S. Geraci, P. Clezardin, B. Roche, F. Peyrin, M. Langer,</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2"/>
    <w:bookmarkStart w:id="254" w:name="ref-11349lK8v"/>
    <w:p>
      <w:pPr>
        <w:pStyle w:val="Bibliography"/>
      </w:pPr>
      <w:r>
        <w:t xml:space="preserve">[52]</w:t>
      </w:r>
      <w:r>
        <w:t xml:space="preserve"> </w:t>
      </w:r>
      <w:r>
        <w:t xml:space="preserve">	</w:t>
      </w:r>
      <w:r>
        <w:t xml:space="preserve">Y. Yi, Y. Men, D. Jing, W. Luo, S. Zhang, J.Q. Feng, J. Liu, W. Ge, J. Wang, H. Zhao,</w:t>
      </w:r>
      <w:r>
        <w:t xml:space="preserve"> </w:t>
      </w:r>
      <w:hyperlink r:id="rId253">
        <w:r>
          <w:rPr>
            <w:rStyle w:val="Hyperlink"/>
          </w:rPr>
          <w:t xml:space="preserve">3‐dimensional visualization of implant‐tissue interface with the polyethylene glycol associated solvent system tissue clearing method</w:t>
        </w:r>
      </w:hyperlink>
      <w:r>
        <w:t xml:space="preserve">, Cell Proliferation 52 (2019).</w:t>
      </w:r>
    </w:p>
    <w:bookmarkEnd w:id="254"/>
    <w:bookmarkStart w:id="256" w:name="ref-13YRlKdu2"/>
    <w:p>
      <w:pPr>
        <w:pStyle w:val="Bibliography"/>
      </w:pPr>
      <w:r>
        <w:t xml:space="preserve">[53]</w:t>
      </w:r>
      <w:r>
        <w:t xml:space="preserve"> </w:t>
      </w:r>
      <w:r>
        <w:t xml:space="preserve">	</w:t>
      </w:r>
      <w:r>
        <w:t xml:space="preserve">S. Young, J.D. Kretlow, C. Nguyen, A.G. Bashoura, L.S. Baggett, J.A. Jansen, M. Wong, A.G. Mikos,</w:t>
      </w:r>
      <w:r>
        <w:t xml:space="preserve"> </w:t>
      </w:r>
      <w:hyperlink r:id="rId255">
        <w:r>
          <w:rPr>
            <w:rStyle w:val="Hyperlink"/>
          </w:rPr>
          <w:t xml:space="preserve">Microcomputed Tomography Characterization of Neovascularization in Bone Tissue Engineering Applications</w:t>
        </w:r>
      </w:hyperlink>
      <w:r>
        <w:t xml:space="preserve">, Tissue Engineering Part B: Reviews 14 (2008) 295–306.</w:t>
      </w:r>
    </w:p>
    <w:bookmarkEnd w:id="256"/>
    <w:bookmarkStart w:id="258" w:name="ref-C9ratYNO"/>
    <w:p>
      <w:pPr>
        <w:pStyle w:val="Bibliography"/>
      </w:pPr>
      <w:r>
        <w:t xml:space="preserve">[54]</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7">
        <w:r>
          <w:rPr>
            <w:rStyle w:val="Hyperlink"/>
          </w:rPr>
          <w:t xml:space="preserve">Therapeutic Targeting of CD146/MCAM Reduces Bone Metastasis in Prostate Cancer</w:t>
        </w:r>
      </w:hyperlink>
      <w:r>
        <w:t xml:space="preserve">, Molecular Cancer Research 17 (2019) 1049–1062.</w:t>
      </w:r>
    </w:p>
    <w:bookmarkEnd w:id="258"/>
    <w:bookmarkEnd w:id="259"/>
    <w:bookmarkEnd w:id="26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49"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1"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29" Target="https://doi.org/10.1016/j.biomaterials.2016.01.016" TargetMode="External" /><Relationship Type="http://schemas.openxmlformats.org/officeDocument/2006/relationships/hyperlink" Id="rId235"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7"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3"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1" Target="https://doi.org/10.1038/s41598-017-13632-5" TargetMode="External" /><Relationship Type="http://schemas.openxmlformats.org/officeDocument/2006/relationships/hyperlink" Id="rId239"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5"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3" Target="https://doi.org/10.1111/cpr.12578" TargetMode="External" /><Relationship Type="http://schemas.openxmlformats.org/officeDocument/2006/relationships/hyperlink" Id="rId247"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1"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57" Target="https://doi.org/10.1158/1541-7786.mcr-18-1220" TargetMode="External" /><Relationship Type="http://schemas.openxmlformats.org/officeDocument/2006/relationships/hyperlink" Id="rId227"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5"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23"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1"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c2ba9847c5bcc41dbb1efea6768bedafc895c7b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2ba9847c5bcc41dbb1efea6768bedafc895c7b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c2ba9847c5bcc41dbb1efea6768bedafc895c7b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49"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1"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29" Target="https://doi.org/10.1016/j.biomaterials.2016.01.016" TargetMode="External" /><Relationship Type="http://schemas.openxmlformats.org/officeDocument/2006/relationships/hyperlink" Id="rId235"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7"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3"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1" Target="https://doi.org/10.1038/s41598-017-13632-5" TargetMode="External" /><Relationship Type="http://schemas.openxmlformats.org/officeDocument/2006/relationships/hyperlink" Id="rId239"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5"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3" Target="https://doi.org/10.1111/cpr.12578" TargetMode="External" /><Relationship Type="http://schemas.openxmlformats.org/officeDocument/2006/relationships/hyperlink" Id="rId247"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1"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57" Target="https://doi.org/10.1158/1541-7786.mcr-18-1220" TargetMode="External" /><Relationship Type="http://schemas.openxmlformats.org/officeDocument/2006/relationships/hyperlink" Id="rId227"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5"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23"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1"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c2ba9847c5bcc41dbb1efea6768bedafc895c7b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2ba9847c5bcc41dbb1efea6768bedafc895c7b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c2ba9847c5bcc41dbb1efea6768bedafc895c7b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2025-03-14T11:44:36Z</dcterms:created>
  <dcterms:modified xsi:type="dcterms:W3CDTF">2025-03-14T11:44:36Z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